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292" w:rightChars="-139"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正德</w:t>
      </w:r>
      <w:r>
        <w:rPr>
          <w:rFonts w:hint="eastAsia" w:ascii="方正小标宋简体" w:hAnsi="方正小标宋简体" w:eastAsia="方正小标宋简体" w:cs="方正小标宋简体"/>
          <w:sz w:val="32"/>
          <w:szCs w:val="32"/>
          <w:lang w:val="en-US" w:eastAsia="zh-CN"/>
        </w:rPr>
        <w:t>职业技术</w:t>
      </w:r>
      <w:r>
        <w:rPr>
          <w:rFonts w:hint="eastAsia" w:ascii="方正小标宋简体" w:hAnsi="方正小标宋简体" w:eastAsia="方正小标宋简体" w:cs="方正小标宋简体"/>
          <w:sz w:val="32"/>
          <w:szCs w:val="32"/>
        </w:rPr>
        <w:t>学院</w:t>
      </w:r>
    </w:p>
    <w:p>
      <w:pPr>
        <w:ind w:firstLine="3520" w:firstLineChars="11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云</w:t>
      </w:r>
      <w:r>
        <w:rPr>
          <w:rFonts w:hint="eastAsia" w:ascii="方正小标宋简体" w:hAnsi="方正小标宋简体" w:eastAsia="方正小标宋简体" w:cs="方正小标宋简体"/>
          <w:sz w:val="32"/>
          <w:szCs w:val="32"/>
        </w:rPr>
        <w:t>广播系统</w:t>
      </w:r>
      <w:r>
        <w:rPr>
          <w:rFonts w:hint="eastAsia" w:ascii="方正小标宋简体" w:hAnsi="方正小标宋简体" w:eastAsia="方正小标宋简体" w:cs="方正小标宋简体"/>
          <w:sz w:val="32"/>
          <w:szCs w:val="32"/>
          <w:lang w:val="en-US" w:eastAsia="zh-CN"/>
        </w:rPr>
        <w:t>技术参数表</w:t>
      </w:r>
    </w:p>
    <w:p>
      <w:pPr>
        <w:ind w:left="0" w:leftChars="0" w:firstLine="0" w:firstLineChars="0"/>
        <w:jc w:val="left"/>
        <w:rPr>
          <w:rFonts w:hint="eastAsia" w:ascii="仿宋_GB2312" w:hAnsi="仿宋_GB2312" w:eastAsia="仿宋_GB2312" w:cs="仿宋_GB2312"/>
          <w:sz w:val="24"/>
          <w:szCs w:val="24"/>
          <w:lang w:val="en-US" w:eastAsia="zh-CN"/>
        </w:rPr>
      </w:pP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推荐品牌：DSPPA、ANE、CADSNO、AKG、铁三角等</w:t>
      </w:r>
    </w:p>
    <w:p>
      <w:pPr>
        <w:numPr>
          <w:ilvl w:val="0"/>
          <w:numId w:val="0"/>
        </w:numPr>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2.配件须选用国产优质品牌</w:t>
      </w:r>
    </w:p>
    <w:p>
      <w:p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3.加★参数须成交后提供</w:t>
      </w:r>
    </w:p>
    <w:p>
      <w:p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4.请报名预约实地勘察工程量</w:t>
      </w:r>
    </w:p>
    <w:tbl>
      <w:tblPr>
        <w:tblStyle w:val="5"/>
        <w:tblW w:w="9414" w:type="dxa"/>
        <w:tblInd w:w="93" w:type="dxa"/>
        <w:tblLayout w:type="fixed"/>
        <w:tblCellMar>
          <w:top w:w="0" w:type="dxa"/>
          <w:left w:w="108" w:type="dxa"/>
          <w:bottom w:w="0" w:type="dxa"/>
          <w:right w:w="108" w:type="dxa"/>
        </w:tblCellMar>
      </w:tblPr>
      <w:tblGrid>
        <w:gridCol w:w="562"/>
        <w:gridCol w:w="1150"/>
        <w:gridCol w:w="5834"/>
        <w:gridCol w:w="845"/>
        <w:gridCol w:w="1023"/>
      </w:tblGrid>
      <w:tr>
        <w:tblPrEx>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18"/>
                <w:szCs w:val="18"/>
              </w:rPr>
            </w:pPr>
            <w:r>
              <w:rPr>
                <w:rFonts w:hint="eastAsia" w:ascii="黑体" w:hAnsi="黑体" w:eastAsia="黑体" w:cs="黑体"/>
                <w:sz w:val="18"/>
                <w:szCs w:val="18"/>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18"/>
                <w:szCs w:val="18"/>
              </w:rPr>
            </w:pPr>
            <w:r>
              <w:rPr>
                <w:rFonts w:hint="eastAsia" w:ascii="黑体" w:hAnsi="黑体" w:eastAsia="黑体" w:cs="黑体"/>
                <w:sz w:val="18"/>
                <w:szCs w:val="18"/>
              </w:rPr>
              <w:t>设备名称</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18"/>
                <w:szCs w:val="18"/>
              </w:rPr>
            </w:pPr>
            <w:r>
              <w:rPr>
                <w:rFonts w:hint="eastAsia" w:ascii="黑体" w:hAnsi="黑体" w:eastAsia="黑体" w:cs="黑体"/>
                <w:sz w:val="18"/>
                <w:szCs w:val="18"/>
              </w:rPr>
              <w:t>规格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18"/>
                <w:szCs w:val="18"/>
              </w:rPr>
            </w:pPr>
            <w:r>
              <w:rPr>
                <w:rFonts w:hint="eastAsia" w:ascii="黑体" w:hAnsi="黑体" w:eastAsia="黑体" w:cs="黑体"/>
                <w:sz w:val="18"/>
                <w:szCs w:val="18"/>
              </w:rPr>
              <w:t>单位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sz w:val="18"/>
                <w:szCs w:val="18"/>
              </w:rPr>
            </w:pPr>
            <w:r>
              <w:rPr>
                <w:rFonts w:hint="eastAsia" w:ascii="黑体" w:hAnsi="黑体" w:eastAsia="黑体" w:cs="黑体"/>
                <w:sz w:val="18"/>
                <w:szCs w:val="18"/>
              </w:rPr>
              <w:t>数量</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节目定时播放器</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1.TFT彩色液晶触摸式显示屏显示机器所有状态，并实现触摸屏操控。</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2.中/英文字幕两种语言显示可选择。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3.可播放U盘、SD卡上的MP3音乐节目。</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4.可定时播放SD卡上的MP3音乐节目。</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5.可编辑8个定时方案按周循环，一个日方案最多可编辑100个定时点，具有定时点信息掉电记忆功能。</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6.可在电脑上编辑定时点，通过SD卡复制到本机执行。也可将本机上的定时点信息通过SD卡复制到电脑上进行备份储存。</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7.有一路AC220V 2000W电源输出插座，具有接受定时点定时控制其开关的功能。</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8.具有定时点到来前1-60秒（时间可以设置）内自动提前打开定时电源的功能。</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9.有一路短路信号输出接口与定时电源输出联动，一路音频信号输出接口（4个插座并联输出）。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10.可连接耳机监听播放状态。</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11.输出LED电平指示。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指标参数：</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 xml:space="preserve">1.显示屏 </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2.MP3输入灵敏度 230-280mV</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3.线路输出 1000mV（±50mV）</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4.耳机监听电平 1000mV（±50mV）</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5.最大输出噪声电压 ≤0.5mV</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6.定时电源插座 1只（220V/50HZ适时电网电压）</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7.插座容量 220V，2000W</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8.定时次数 周方案8个，日方案1个</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9.时间制式 24小时制</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10.保护 一只F1A交流保险管</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11.工作电源 AC 220-240V/50-60Hz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调谐器</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1.微电脑控制，数字调谐系统。</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2.收音头以模块形式设计，可与主机分离，放置在接收信号更好的位置。</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3.全轻触按键控制，VFD显示。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4.AM/FM 各40个电台存储功能。</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5.具有自动搜索电台并自动存储功能。</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6.具有音频信号电平指示。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7.具有断电记忆功能。</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性能规格：</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1.接收范围 FM 87.0MHz-108.0MHz/AM 522kHz-1620kHz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2.灵敏度 FM 26dBμ/AM 52dBμ</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3.信噪比 FM 单声道76dB，立体声70dB/AM 40dB</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4.调谐频率步距 FM 50kHz/AM 9kHz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5.中频频率 FM 10.7MHz/AM 450kHz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6.输出电平 0dBV</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7.保护 AC保险丝</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8.电源 AC220V/50Hz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功放</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1.100V、70V定压输出和P1输出（平衡、不接地）。</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2.5单位LED显示器，作状态显示。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3.6.35mm插口和XLR插口可方便地实现环接。</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4.输出短路保护并示警。</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★5.为保证功放有故障自恢复电路和功放保护电路功能，投标时需提供由第三方权威机构出具的功放故障自恢复电路和功放保护电路的证明文件并加盖厂家公章；</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性能规格：</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1.额定输出功率 650W</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2.最小源电动势 ≤1000mV</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3.信噪比 ≥77dB（宽带）</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4.频率响应 80Hz—16kHz （±3dB）</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5.总谐波失真 ≤1%（1kHz，正常工作条件）</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6.指示灯 “电源”，“削顶”，“信号”，“保护”和“超温”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7.保护 高温，直流，短路</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8.电源 AC220V/50Hz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9.额定功耗 1000W</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调音台</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1.6路XLR平衡单声道输入+2路立体声输入</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2.每通道3段均衡调节，MUTE静音开关，PFL耳机开关，平滑60MM行程推子器，</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3.2编组输出 +2组AUX输出（包括FX),</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4.1组返回，1组监听耳机输出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5.内置48V幻象电源供电；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6.24种DSP数字效果器,</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7.内置USB音频播放MP3；</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8.USB录音、也可连电脑播放音乐</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9.内置蓝牙接收模块</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10.LED大显示屏清淅显示播放状态;</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11.十段三色电平灯显示信号状态</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12.XLR平衡输入话放噪声极低，超低噪音线路设计，动态余量大</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13.适用全球供电电压功率30瓦；使用灵活</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电源时序器</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1.独立的八路大功率电源输出，万能插座，可满足多种三级的电源插座，如国标插座、美标插座以及欧标插座等；还可满足二级欧式的圆头插座；</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2.单路最大输出为10A，总输入电流容量16A；</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★3.电源开关处于关闭状态时，从 TIMER IN口接入一个短路信号输入，会顺序激活8路电源输出（投标时需提供第三方权威机构的检测报告复印件加盖公章加以证明）；</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4.开机时由前级到后级按顺序逐个启动各类设备，关机时由后级到前级逐个关闭各个设备，有效的统一管理控制用电设备，确保整个系统的稳定运行；</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5.电源输出:8路，万能插座</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6.单路负荷:10A</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8.控制方式:手动顺序启动、短路信号触发控制。</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7.电源容量:总容量220V，16A</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8.输入电源:AC220-240/50Hz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9.时序间隔:1.5s</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★10.具有短路信号输出功能：电源开关处于关闭状态时，从 TIMER IN口接入短路信号，同时会激活TIMER LINK接口短路信号输出（投标时需提供第三方权威机构的检测报告复印件加盖公章加以证明）</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播音话筒</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1.本产品根据人声讲话的频响特征及根据声学相位干涉特点，以扩啸叫（声反馈）为前提，对高频和低频进行了整合裁剪，具有抗声反馈能力强，拾音灵敏度高的棒形指向，特点如下：</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2.1000Hz以下，呈不对称“8”字形，拾音近似棒形指向，1000-7000Hz拾音角度收窄，呈单一锐指向，抑制侧向环境噪声大于25dB</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超高灵敏度：27dB（1V/Pa at 1KHz）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3.突出人声讲话频段（200-5000）Hz的指向特征，（30-60cm）有极好的拾音效果。</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4.结构形式：分拆式结构</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5.类别： 9.7 背极电容式、双极头</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6.指向特性：单一锐指向</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7.灵敏度：-27dB+3dB 40mV/Pa</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8.频率响应：100-7000Hz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9.输出阻抗(±20%)：150Ω（非平衡式）</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10.最佳拾音距离：20-100cm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只</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专业监听耳机</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封闭式，可翻转，高灵敏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副</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有源监听音箱</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1.接口输入:平衡XLR接口和不平衡RCA插口输入</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2.频宽:(-10dB):70Hz-20,000Hz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3.灵敏度（1m，1W）:91dB</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4.最大声压级(1m):106dB</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5.频率范围:70Hz～20KHz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6.额定功率:30W</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7.结构组成:6.5′低音×1(低、中频)2.5′高音×1(高频)</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8.适应环境温度:-10℃~+40℃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r>
      <w:tr>
        <w:tblPrEx>
          <w:tblCellMar>
            <w:top w:w="0" w:type="dxa"/>
            <w:left w:w="108" w:type="dxa"/>
            <w:bottom w:w="0" w:type="dxa"/>
            <w:right w:w="108" w:type="dxa"/>
          </w:tblCellMar>
        </w:tblPrEx>
        <w:trPr>
          <w:trHeight w:val="6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室外音柱</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1.工作电压70/100V，额定功率30W，多个配接端子，适应不同场合；</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2.最大声压级达106±2dB，有效频率范围宽达140Hz~14kHz；</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3.配有安装支架，安装便捷；</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4.全天候设计，铝网，选用防水单元，铝合金材质网罩，永不生锈；室内外均宜，寿命长，</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5.喇叭单元4"全频扬声器x1，2.5"高音扬声器x1；灵敏度高（89±2dB），声音清晰、明亮。</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★6.为保证扬声器具有防潮防腐蚀以及散热功能，投标时需提供由第三方权威机构出具的防潮防腐蚀防氧化的音圈和气流源强制散热扬声器的证明文件并加盖厂家公章；</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只</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CellMar>
            <w:top w:w="0" w:type="dxa"/>
            <w:left w:w="108" w:type="dxa"/>
            <w:bottom w:w="0" w:type="dxa"/>
            <w:right w:w="108" w:type="dxa"/>
          </w:tblCellMar>
        </w:tblPrEx>
        <w:trPr>
          <w:trHeight w:val="439"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音频线</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国标2*2,0㎡电缆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28</w:t>
            </w:r>
            <w:r>
              <w:rPr>
                <w:rFonts w:hint="eastAsia" w:ascii="仿宋_GB2312" w:hAnsi="仿宋_GB2312" w:eastAsia="仿宋_GB2312" w:cs="仿宋_GB2312"/>
                <w:sz w:val="18"/>
                <w:szCs w:val="18"/>
              </w:rPr>
              <w:t>00</w:t>
            </w:r>
          </w:p>
        </w:tc>
      </w:tr>
      <w:tr>
        <w:tblPrEx>
          <w:tblCellMar>
            <w:top w:w="0" w:type="dxa"/>
            <w:left w:w="108" w:type="dxa"/>
            <w:bottom w:w="0" w:type="dxa"/>
            <w:right w:w="108" w:type="dxa"/>
          </w:tblCellMar>
        </w:tblPrEx>
        <w:trPr>
          <w:trHeight w:val="46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PVC管</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Φ25mm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26</w:t>
            </w:r>
            <w:r>
              <w:rPr>
                <w:rFonts w:hint="eastAsia" w:ascii="仿宋_GB2312" w:hAnsi="仿宋_GB2312" w:eastAsia="仿宋_GB2312" w:cs="仿宋_GB2312"/>
                <w:sz w:val="18"/>
                <w:szCs w:val="18"/>
              </w:rPr>
              <w:t>00</w:t>
            </w:r>
          </w:p>
        </w:tc>
      </w:tr>
      <w:tr>
        <w:tblPrEx>
          <w:tblCellMar>
            <w:top w:w="0" w:type="dxa"/>
            <w:left w:w="108" w:type="dxa"/>
            <w:bottom w:w="0" w:type="dxa"/>
            <w:right w:w="108" w:type="dxa"/>
          </w:tblCellMar>
        </w:tblPrEx>
        <w:trPr>
          <w:trHeight w:val="499"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镀锌管</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Φ20mm或加厚PE管</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130</w:t>
            </w:r>
          </w:p>
        </w:tc>
      </w:tr>
      <w:tr>
        <w:tblPrEx>
          <w:tblCellMar>
            <w:top w:w="0" w:type="dxa"/>
            <w:left w:w="108" w:type="dxa"/>
            <w:bottom w:w="0" w:type="dxa"/>
            <w:right w:w="108" w:type="dxa"/>
          </w:tblCellMar>
        </w:tblPrEx>
        <w:trPr>
          <w:trHeight w:val="54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镀锌管接头</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各类规格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个</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500</w:t>
            </w:r>
          </w:p>
        </w:tc>
      </w:tr>
      <w:tr>
        <w:tblPrEx>
          <w:tblCellMar>
            <w:top w:w="0" w:type="dxa"/>
            <w:left w:w="108" w:type="dxa"/>
            <w:bottom w:w="0" w:type="dxa"/>
            <w:right w:w="108" w:type="dxa"/>
          </w:tblCellMar>
        </w:tblPrEx>
        <w:trPr>
          <w:trHeight w:val="76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绝缘胶布、扎带铁丝等辅材</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绝缘胶布、扎带铁丝等辅材（含运费）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r>
      <w:tr>
        <w:tblPrEx>
          <w:tblCellMar>
            <w:top w:w="0" w:type="dxa"/>
            <w:left w:w="108" w:type="dxa"/>
            <w:bottom w:w="0" w:type="dxa"/>
            <w:right w:w="108" w:type="dxa"/>
          </w:tblCellMar>
        </w:tblPrEx>
        <w:trPr>
          <w:trHeight w:val="46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人工费1</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窖井穿线费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600</w:t>
            </w:r>
          </w:p>
        </w:tc>
      </w:tr>
      <w:tr>
        <w:tblPrEx>
          <w:tblCellMar>
            <w:top w:w="0" w:type="dxa"/>
            <w:left w:w="108" w:type="dxa"/>
            <w:bottom w:w="0" w:type="dxa"/>
            <w:right w:w="108" w:type="dxa"/>
          </w:tblCellMar>
        </w:tblPrEx>
        <w:trPr>
          <w:trHeight w:val="51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人工费2</w:t>
            </w:r>
          </w:p>
        </w:tc>
        <w:tc>
          <w:tcPr>
            <w:tcW w:w="5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土地面开挖、回填工程，布线施工等费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18</w:t>
            </w:r>
            <w:r>
              <w:rPr>
                <w:rFonts w:hint="eastAsia" w:ascii="仿宋_GB2312" w:hAnsi="仿宋_GB2312" w:eastAsia="仿宋_GB2312" w:cs="仿宋_GB2312"/>
                <w:sz w:val="18"/>
                <w:szCs w:val="18"/>
              </w:rPr>
              <w:t>00</w:t>
            </w:r>
          </w:p>
        </w:tc>
      </w:tr>
    </w:tbl>
    <w:p/>
    <w:sectPr>
      <w:headerReference r:id="rId3" w:type="default"/>
      <w:footerReference r:id="rId4" w:type="default"/>
      <w:pgSz w:w="11906" w:h="16838"/>
      <w:pgMar w:top="1134" w:right="850" w:bottom="1134" w:left="85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val="en-US" w:eastAsia="zh-CN"/>
      </w:rPr>
      <w:t>正德职业技术学院JSJY-ZDXY-2023-3-002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9E01C"/>
    <w:multiLevelType w:val="singleLevel"/>
    <w:tmpl w:val="2739E01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E3MTY0YWNlOGMzMzIyYjhmY2IxNDFhNmE1YTcifQ=="/>
  </w:docVars>
  <w:rsids>
    <w:rsidRoot w:val="00803BA2"/>
    <w:rsid w:val="00151517"/>
    <w:rsid w:val="00803BA2"/>
    <w:rsid w:val="009278B8"/>
    <w:rsid w:val="00A87E2D"/>
    <w:rsid w:val="00C808DC"/>
    <w:rsid w:val="00C92C34"/>
    <w:rsid w:val="026223A4"/>
    <w:rsid w:val="04D92AE3"/>
    <w:rsid w:val="05F71692"/>
    <w:rsid w:val="09F80BCB"/>
    <w:rsid w:val="19364AAE"/>
    <w:rsid w:val="1AB8095B"/>
    <w:rsid w:val="26E214D4"/>
    <w:rsid w:val="4DF26A04"/>
    <w:rsid w:val="51E53007"/>
    <w:rsid w:val="61094CC8"/>
    <w:rsid w:val="636E4FCE"/>
    <w:rsid w:val="68726A89"/>
    <w:rsid w:val="69FC40E4"/>
    <w:rsid w:val="6A042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101"/>
    <w:basedOn w:val="6"/>
    <w:qFormat/>
    <w:uiPriority w:val="0"/>
    <w:rPr>
      <w:rFonts w:hint="eastAsia" w:ascii="宋体" w:hAnsi="宋体" w:eastAsia="宋体" w:cs="宋体"/>
      <w:b/>
      <w:bCs/>
      <w:color w:val="000000"/>
      <w:sz w:val="20"/>
      <w:szCs w:val="20"/>
      <w:u w:val="none"/>
    </w:rPr>
  </w:style>
  <w:style w:type="character" w:customStyle="1" w:styleId="9">
    <w:name w:val="font11"/>
    <w:basedOn w:val="6"/>
    <w:qFormat/>
    <w:uiPriority w:val="0"/>
    <w:rPr>
      <w:rFonts w:hint="eastAsia" w:ascii="宋体" w:hAnsi="宋体" w:eastAsia="宋体" w:cs="宋体"/>
      <w:color w:val="000000"/>
      <w:sz w:val="21"/>
      <w:szCs w:val="21"/>
      <w:u w:val="none"/>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2237</Words>
  <Characters>2919</Characters>
  <Lines>25</Lines>
  <Paragraphs>7</Paragraphs>
  <TotalTime>0</TotalTime>
  <ScaleCrop>false</ScaleCrop>
  <LinksUpToDate>false</LinksUpToDate>
  <CharactersWithSpaces>2972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2023-04-07T06:07:00Z</dcterms:created>
  <dc:creator>Admin</dc:creator>
  <cp:lastModifiedBy>锐意进取</cp:lastModifiedBy>
  <dcterms:modified xsi:type="dcterms:W3CDTF">2023-04-19T02:15:26Z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2E26B1E2693545EB8991A22FAEEECF27</vt:lpwstr>
  </property>
</Properties>
</file>